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rPr>
        <w:t xml:space="preserve">Ciktāl ieņēmumu risku uzņemas Privātais partneris, Privātais partneris parasti sagaida aizsardzību pret jebkādām izmaiņām tiesību aktos, kas ierobežo īres ieņēmumus vai ietekmē privātā partnera spēju iekasēt nomas maksu no īrniekiem.</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sociālā mājokļa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sociālo mājokļu sektoram vai investoriem sociālo mājokļu uzņēmumos);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E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4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2026-05-02T11:04:45+00:00</dcterms:created>
  <dcterms:modified xsi:type="dcterms:W3CDTF">2026-05-02T11:04:45+00:00</dcterms:modified>
</cp:coreProperties>
</file>

<file path=docProps/custom.xml><?xml version="1.0" encoding="utf-8"?>
<Properties xmlns="http://schemas.openxmlformats.org/officeDocument/2006/custom-properties" xmlns:vt="http://schemas.openxmlformats.org/officeDocument/2006/docPropsVTypes"/>
</file>