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Ieņēmumu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Ieņēmumu riska sadale (risks, ka sociālā mājokļa aizpildīšanai būs nepietiekams īrnieku skaits un īrnieki nesamaksās/nemaksās īres maksājumus) ir galvenais jautājums. Lai gan pastāv vispārīgi principi, jebkura projekta risinājums ir atkarīgs no konkrētā projekta un tā apstākļiem. Līdzšinējā pieredze projektos ir arī svarīga, lai informētu par turpmāko tirgus praksi.</w:t>
      </w:r>
    </w:p>
    <w:p>
      <w:pPr/>
      <w:r>
        <w:rPr/>
        <w:t xml:space="preserve">Ja Publiskais partneris apsver iespēju piešķirt jebkādu ieņēmumu risku Privātajam partnerim, tai ir jāveic pilns riska novērtējums priekšizpētes ietvaros, tostarp neatkarīga īrnieku pieprasījuma un nomas līmeņa prognozēšana. Pretendenti arī vēlēsies paši veikt riska novērtējumu un plašu tirgus analīzi, lai noteiktu cenas saviem piedāvājumiem. Ņemot vērā sociālo mājokļu raksturu, parasti ir ļoti liels īrnieku pieprasījums/piedāvājums pēc dzīvojamā fonda, lai gan ienākumu risks, ja sociālo mājokļu īrnieki nemaksā īri, ir galvenais risks sociālo mājokļu sektorā, un Publiskajam partnerim var tikt prasīts sniegt papildu atbalstu (piemēram, maksājuma galvojumu par sociālo dzīvojamo māju īrnieku īres nemaksāšanu). </w:t>
      </w:r>
    </w:p>
    <w:p>
      <w:pPr/>
      <w:r>
        <w:rPr/>
        <w:t xml:space="preserve">Ja ir liela neskaidrība par ieņēmumiem vai pieejamajiem īrniekiem (tostarp, piemēram, vietējo likumu ierobežojumi, kas ierobežo Privātā partnera spēju iekasēt nomas maksu), tas var būt iemesls, lai projektu strukturētu, pamatojoties uz pieejamības maksājumu. Turklāt var būt politiski un citi iemesli, kas dod priekšroku uz pieejamību balstītam līgumam, nevis ieņēmumu riska modelim.</w:t>
      </w:r>
    </w:p>
    <w:p>
      <w:pPr/>
      <w:r>
        <w:rPr/>
        <w:t xml:space="preserve">Uz pieejamību balstītas struktūras vai hibrīda struktūra ir dzīvotspējīgāka (visizplatītākā ir tendence par maksājumiem, kas balstīti uz pieejamību, izņemot gadījumus, kad ir pārliecinoši iemesli, kāpēc uz ieņēmumiem balstīts projekts nebūs dzīvotspējīgs). Tas var būt saistīts ar Privātā partnera valsts maksājuma vai atbalsta saņemšanu, kā arī īrnieka īres maksas iekasēšanu. Alternatīvu sociālo mājokļu iespēju trūkums var radīt privātajam sektoram lielāku pārliecību uzņemties ieņēmumu risku.</w:t>
      </w:r>
    </w:p>
    <w:p>
      <w:pPr/>
      <w:r>
        <w:rPr/>
        <w:t xml:space="preserve">Ja ieņēmumu risku uzņemas Privātais partneris, līgumā ir atbilstoši jārisina un jāsadala risks starp visiem faktoriem, kas ietekmē pieprasījumu pēc sociālajiem mājokļiem (piemēram, izmaiņas valdības politikā attiecībā uz labklājības un mājokļa pabalstiem, izmaiņas sociālajā politikā attiecībā uz nodrošinājumu, mājokli zemiem ienākumiem vai bezpajumtniekiem), un pusēm būtu jāizstrādā visaptveroša stratēģija projekta īstenošanai.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4.3. Valsts atbalsta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Tā kā sociālo mājokļu projektā īres maksājumi tiek subsidēti zem komerclikmēm, kur Privātais partneris uzņemas ieņēmumu risku, ieņēmumus bieži papildina papildu valsts atbalsts, lai tie būtu komerciāli izdevīgi. Šo pasākumu ietekme nozīmē, ka Publiskais partneris var dalīt ieņēmumu risku.</w:t>
      </w:r>
    </w:p>
    <w:p>
      <w:pPr/>
      <w:r>
        <w:rPr>
          <w:b w:val="1"/>
          <w:bCs w:val="1"/>
        </w:rPr>
        <w:t xml:space="preserve">Subsīdijas:</w:t>
      </w:r>
      <w:r>
        <w:rPr/>
        <w:t xml:space="preserve"> atbalsts var būt sākotnējās subsīdijas vai pastāvīgas subsīdijas kapitālizdevumu izmaksām, ja tiek prognozēts, ka īres ieņēmumi nebūs pietiekami, lai Privātais partneris varētu izpildīt savas parāda apkalpošanas un citas finanšu saistības (kas ir raksturīgi sociālo mājokļu sektoram, piemēram, īres maksājumi tiek subsidēti).</w:t>
      </w:r>
    </w:p>
    <w:p>
      <w:pPr/>
      <w:r>
        <w:rPr>
          <w:b w:val="1"/>
          <w:bCs w:val="1"/>
        </w:rPr>
        <w:t xml:space="preserve">Garantijas:</w:t>
      </w:r>
      <w:r>
        <w:rPr/>
        <w:t xml:space="preserve"> Papildus sākotnējām vai pastāvīgām subsīdijām Publiskais partneris nodrošina maksājuma garantiju par sociālo mājokļu īrnieku īres nemaksāšanu vai garantē privātajam partnerim minimālo ieņēmumu līmeni.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E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7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D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2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A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D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2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3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1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0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D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C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79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49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FD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7F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D3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8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8E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5E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2026-04-30T12:28:39+00:00</dcterms:created>
  <dcterms:modified xsi:type="dcterms:W3CDTF">2026-04-30T12:28:39+00:00</dcterms:modified>
</cp:coreProperties>
</file>

<file path=docProps/custom.xml><?xml version="1.0" encoding="utf-8"?>
<Properties xmlns="http://schemas.openxmlformats.org/officeDocument/2006/custom-properties" xmlns:vt="http://schemas.openxmlformats.org/officeDocument/2006/docPropsVTypes"/>
</file>