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w:t>
      </w:r>
    </w:p>
    <w:p>
      <w:pPr/>
      <w:r>
        <w:rPr/>
        <w:t xml:space="preserve">Tomēr, ja tas darbojas virs šī sliekšņa, Publiskais partneris nevar pieprasīt tai aizstāt tehnoloģiju tikai tāpēc, ka ir pieejami efektīvāki tehnoloģiskie risinājumi, ja vien nav saskaņots līgumisks mehānisms, kā to darīt.</w:t>
      </w:r>
    </w:p>
    <w:p>
      <w:pPr/>
      <w:r>
        <w:rPr>
          <w:i w:val="1"/>
          <w:iCs w:val="1"/>
        </w:rPr>
        <w:t xml:space="preserve">[no apstākļiem atkarīgs risks]</w:t>
      </w:r>
      <w:br/>
      <w:r>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w:t>
      </w:r>
    </w:p>
    <w:p>
      <w:pPr/>
      <w:r>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w:t>
      </w:r>
    </w:p>
    <w:p>
      <w:pPr/>
      <w:r>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w:t>
      </w:r>
    </w:p>
    <w:p>
      <w:pPr/>
      <w:r>
        <w:rPr/>
        <w:t xml:space="preserve">Bieži izmaiņas var veikt tikai saskaņā ar iepriekš saskaņotiem līguma mehānismiem, lai izvairītos no trešo pušu izaicinājumiem, pamatojoties uz to, ka grozījumi ir tik būtiski, ka esošais līgums ir jāizsludina atkārtoti.</w:t>
      </w:r>
    </w:p>
    <w:p>
      <w:pPr/>
      <w:r>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Sociālais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Sociālo mājokļu nodrošināšanu lielā mērā ietekmē vietējās un valsts valdības politika, un parasti valsts vai vietējā valdība nosaka prasību pēc sociālajiem mājokļiem jebkurā konkrētā teritorijā. Publiskais partneris uzņemas risku par jebkura jauna sociālā mājokļa integrāciju esošajā sabiedrībā, izņemot tiktāl, ciktāl Privātais partneris ir atbildīgs par jebkādu sociālās pārvaldības pasākumu īstenošanu. Tas ietvers atrašanās vietas novērtēšanu, lai piekļūtu transporta infrastruktūrai (piemēram, īrnieku stāvvietu atbilstība vai piekļuve sabiedriskajam transportam) un citiem objektiem, piemēram, vietējām darba iespējām.</w:t>
      </w:r>
    </w:p>
    <w:p>
      <w:pPr/>
      <w:r>
        <w:rPr/>
        <w:t xml:space="preserve">Jaunu sociālo mājokļu celtniecībai (vai esošā dzīvojamā fonda pārveidei par sociālajiem mājokļiem) atkarībā no tā atrašanās vietas var iebilst vietējie iedzīvotāji. Ja ir sabiedrības pretestība, var būt protestētāju akcijas gan būvniecības, gan ekspluatācijas posmā un (vai) problēmas, kas saistītas ar objekta aprīkojuma un mājokļa aizsardzību. </w:t>
      </w:r>
    </w:p>
    <w:p>
      <w:pPr/>
      <w:r>
        <w:rPr/>
        <w:t xml:space="preserve">Priekšizpētes posmā Publiskajam partnerim bija jāņem vērā ietekme uz vietējiem vides apstākļiem, (sociālo) infrastruktūru un kopienām kopumā, kā arī uz blakus esošajiem īpašumiem un nozarēm – gan sociālā mājokļa būvniecības, gan ekspluatācijas un (vai) pārvaldīšanas ziņā. Tai var būt jāveic sociālās ietekmes pētījumi un jācenšas samazināt jebkādu projekta negatīvo ietekmi. Apspriešanās var samazināt iebildumu risku, ja rezultāti ir iekļauti stratēģijā un konkursa prasībās. Piedāvājuma prasībās un līgumā ir jānorāda pieeja, kompensācijas shēmas un tas, kas ir pieņemams.</w:t>
      </w:r>
    </w:p>
    <w:p>
      <w:pPr/>
      <w:r>
        <w:rPr/>
        <w:t xml:space="preserve">Ieguldītāji un aizdevēji var sagaidīt plānu, kas risinās sociālo ietekmi, tostarp visu nepieciešamo līgumisko vienošanos izpildi. Publiskais partneris var izvēlēties projektā pieņemt starptautiski atzītus sociālos un vides standartus un praksi sociālā riska pārvaldībai, īpaši, ja ir vēlamas starptautiskas finansēšanas iespējas.</w:t>
      </w:r>
    </w:p>
    <w:p>
      <w:pPr/>
      <w:r>
        <w:rPr/>
        <w:t xml:space="preserve">Visā būvniecības un darbības laikā Publiskā partnera aktīva ieinteresēto personu iesaistīšanās būs ļoti svarīga, lai izvairītos no tiesvedības, laicīgi sasniegtu galvenos atskaites punktus un nodrošinātu, ka tā nodrošina infrastruktūru, kas kalpo tās publiskajam mērķim. Gan Privātajam partnerim, gan Publiskajam partnerim pirms būvniecības uzsākšanas jāizstrādā pārdomāti vides un sociālo risku pārvaldības plāni. Atkarībā no projekta būtības Publiskajam partnerim var būt nepieciešams saglabāt neizbēgamas iejaukšanās risku ar ietekmētajām pusēm un mazināt to, izmantojot tādus pasākumus kā pārvietošana un nepārtraukti centieni pārvaldīt projekta sociālo un politisko ietekmi uz vietu un ap to (iespējams, iekļaujot kompensācijas režīmu ietekmētajiem uzņēmumiem, kas atrodas blakus vietai).</w:t>
      </w:r>
    </w:p>
    <w:p>
      <w:pPr/>
      <w:r>
        <w:rPr>
          <w:i w:val="1"/>
          <w:iCs w:val="1"/>
        </w:rPr>
        <w:t xml:space="preserve">[no apstākļiem atkarīgs risks]</w:t>
      </w:r>
      <w:br/>
      <w:r>
        <w:rPr/>
        <w:t xml:space="preserve">Privātais partneris uzņemas risku, ka netiek ievērotas līgumā noteiktās sociālā riska saistības, kā arī sociālā riska saistības, kas noteiktas pamatā esošajā tiesību sistēmā, lai gan pat tad, ja sociālā riska saistības tiek nodotas Privātajam partnerim, šādu risku rašanās sekas var atgriezties pie Publiskā partnera. Šī iemesla dēļ Publiskajam partnerim būtu kritiski jāanalizē, kādas sociālā riska saistības būtu jāuzņemas Privātajam partnerim un kādas jāsaglabā.  </w:t>
      </w:r>
    </w:p>
    <w:p>
      <w:pPr/>
      <w:r>
        <w:rPr/>
        <w:t xml:space="preserve">Tā kā būvlaukumam tieši blakus var būt esošie mājokļi un īrnieki, būs svarīgi nodrošināt, lai būvniecības transportlīdzekļu un darbu radītie traucējumi vienmēr tiktu samazināti līdz minimumam.</w:t>
      </w:r>
    </w:p>
    <w:p>
      <w:pPr/>
      <w:r>
        <w:rPr>
          <w:color w:val="black"/>
          <w:i w:val="1"/>
          <w:iCs w:val="1"/>
        </w:rPr>
        <w:t xml:space="preserve">[dalīts risks]</w:t>
      </w:r>
    </w:p>
    <w:p>
      <w:pPr/>
      <w:r>
        <w:rPr>
          <w:color w:val="black"/>
        </w:rPr>
        <w:t xml:space="preserve">Privātais partneris uzņemas risku, kas saistīts ar darba strīdiem un streikiem saistībā, kuri nelabvēlīgi ietekmē projektu, izņemot gadījumus, kad šāda rīcība ietilpst politiskā riska kategorijā – Publiskais partneris var uzņemties risku (ja tas ir valdības politikas riska gadījums) vai dalīt risku (kā nepārvaramas varas vai atvieglojumu gadījums) saistībā ar streikiem un citiem plaši izplatītiem darba nemieriem. Piemēram, streiki visā valstī un nozarē parasti ir Publiskā partnera risks, bet streiki tikai Privātā partnera objektos ir Privātā partnera risks.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Pārmitināšanas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Atkarībā no projekta veida Publiskajam partnerim var būt nepieciešams saglabāt neizbēgamas iejaukšanās risku ar ietekmētajām pusēm un mazināt to, izmantojot tādus pasākumus kā pārvietošana. Tas var ietvert esošo mājokļu vai uzņēmumu pārvietošanu un kopienu pārvietošanu citā vietā, iespējams, arī saņemot kompensāciju, vai īrnieku pagaidu pārvietošanu, kamēr tiek atjaunots esošais dzīvojamais fonds.</w:t>
      </w:r>
    </w:p>
    <w:p>
      <w:pPr/>
      <w:r>
        <w:rPr>
          <w:i w:val="1"/>
          <w:iCs w:val="1"/>
        </w:rPr>
        <w:t xml:space="preserve">[no apstākļiem atkarīgs risks]</w:t>
      </w:r>
      <w:br/>
      <w:r>
        <w:rPr/>
        <w:t xml:space="preserve">Privātais partneris ir atbildīgs par jebkādu sociālā riska pārvaldības pasākumu ieviešanu, par ko ir panākta vienošanās – Publiskajam partnerim tie ir skaidri jānorāda iepirkuma posmā, lai Privātais partneris varētu noteikt izmaksu un saistīto risku cenu.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Privātā partnera un Publiskā partnera strīdi: </w:t>
      </w:r>
      <w:r>
        <w:rPr>
          <w:i w:val="1"/>
          <w:iCs w:val="1"/>
        </w:rPr>
        <w:t xml:space="preserve">[dalīts risks]</w:t>
      </w:r>
      <w:br/>
      <w:r>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w:t>
      </w:r>
    </w:p>
    <w:p>
      <w:pPr/>
      <w:r>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w:t>
      </w:r>
    </w:p>
    <w:p>
      <w:pPr/>
      <w:r>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w:t>
      </w:r>
    </w:p>
    <w:p>
      <w:pPr/>
      <w:r>
        <w:rPr/>
        <w:t xml:space="preserve">Privātajam partnerim vajadzētu būt pienākumam turpināt līguma izpildi, kamēr strīds ir atrisināts, un, ja tā, tad viņš uzņemsies risku, ka tas netiks darīts.</w:t>
      </w:r>
    </w:p>
    <w:p>
      <w:pPr/>
      <w:r>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w:t>
      </w:r>
    </w:p>
    <w:p>
      <w:pPr/>
      <w:r>
        <w:rPr>
          <w:b w:val="1"/>
          <w:bCs w:val="1"/>
        </w:rPr>
        <w:t xml:space="preserve">Apakšuzņēmēju strīdi: </w:t>
      </w:r>
      <w:r>
        <w:rPr>
          <w:b w:val="1"/>
          <w:bCs w:val="1"/>
          <w:i w:val="1"/>
          <w:iCs w:val="1"/>
        </w:rPr>
        <w:t xml:space="preserve"> </w:t>
      </w:r>
      <w:r>
        <w:rPr>
          <w:i w:val="1"/>
          <w:iCs w:val="1"/>
        </w:rPr>
        <w:t xml:space="preserve">[privāts risks]</w:t>
      </w:r>
      <w:br/>
      <w:r>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w:t>
      </w:r>
    </w:p>
    <w:p>
      <w:pPr/>
      <w:r>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w:t>
      </w:r>
    </w:p>
    <w:p>
      <w:pPr/>
      <w:r>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w:t>
      </w:r>
    </w:p>
    <w:p>
      <w:pPr/>
      <w:r>
        <w:rPr/>
        <w:t xml:space="preserve">Vides kontrole pieaug visā pasaulē. Publiskajam partnerim un Privātajam partnerim pirms būvniecības uzsākšanas ir jāizstrādā pārdomāti vides  pārvaldības plāni.</w:t>
      </w:r>
    </w:p>
    <w:p>
      <w:pPr/>
      <w:r>
        <w:rPr/>
        <w:t xml:space="preserve">Privātais partneris uzņemas risku ievērot visas projektam nepieciešamās vides atļaujas, kā arī piemērojamos vides normatīvos aktus.</w:t>
      </w:r>
    </w:p>
    <w:p>
      <w:pPr/>
      <w:r>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t xml:space="preserve">Ja nav normatīvo aktu, Publiskais partneris var pārvaldīt vides saistības, pieņemot starptautiski atzītus standartus un praksi projektam, jo ​​īpaši, ja ir vēlamas starptautiskas finansēšanas iespējas.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16.6.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w:t>
      </w:r>
    </w:p>
    <w:p>
      <w:pPr/>
      <w:r>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16.7.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Ārpus abu pušu atbildības:  </w:t>
      </w:r>
      <w:r>
        <w:rPr>
          <w:i w:val="1"/>
          <w:iCs w:val="1"/>
        </w:rPr>
        <w:t xml:space="preserve">[dalīts risks]</w:t>
      </w:r>
      <w:br/>
      <w:r>
        <w:rPr/>
        <w:t xml:space="preserve">Risks, ka var notikt ārpus projekta vides notikumi, kas negatīvi ietekmē projektu, ir jādala atbilstoši raksturam un iemeslam. Tie var būt dalīta riska forma, piemēram, palīdzības notikums vai nepārvaramas varas notikums (piemēram, ja īrnieks vai īrnieka apmeklētājs izraisa vides notikumu un liek citiem īrniekiem atstāt savu īpašumu).</w:t>
      </w:r>
    </w:p>
    <w:p>
      <w:pPr/>
      <w:r>
        <w:rPr>
          <w:b w:val="1"/>
          <w:bCs w:val="1"/>
        </w:rPr>
        <w:t xml:space="preserve">Publiskā partnera iestādes atbildības robežās: </w:t>
      </w:r>
      <w:r>
        <w:rPr>
          <w:i w:val="1"/>
          <w:iCs w:val="1"/>
        </w:rPr>
        <w:t xml:space="preserve">[publisks risks]</w:t>
      </w:r>
      <w:br/>
      <w:r>
        <w:rPr/>
        <w:t xml:space="preserve">Ja par vides notikumiem ir atbildīgs Publiskais partneris vai valdība, tos var uzskatīt par kompensācijas notikumiem (piemēram, ja valdība nav nodrošinājusi vides tiesību aktu izpildi un kā rezultātā noticis vides incidents no garāmejošas ceļu satiksmes, kas liek īrniekiem atstāt savu īpašumu).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47E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2026-11-06T19:25:35+02:00</dcterms:created>
  <dcterms:modified xsi:type="dcterms:W3CDTF">2026-11-06T19:25:35+02:00</dcterms:modified>
</cp:coreProperties>
</file>

<file path=docProps/custom.xml><?xml version="1.0" encoding="utf-8"?>
<Properties xmlns="http://schemas.openxmlformats.org/officeDocument/2006/custom-properties" xmlns:vt="http://schemas.openxmlformats.org/officeDocument/2006/docPropsVTypes"/>
</file>