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w:t>
      </w:r>
    </w:p>
    <w:p>
      <w:pPr/>
      <w:r>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w:t>
      </w:r>
      <w:r>
        <w:rPr>
          <w:color w:val="black"/>
          <w:shd w:val="clear" w:fill="hsl(0, 0%, 100%)"/>
        </w:rPr>
        <w:t xml:space="preserve">sociālo mājokli,</w:t>
      </w:r>
      <w:r>
        <w:rPr>
          <w:color w:val="black"/>
        </w:rPr>
        <w:t xml:space="preserve"> saistību neizpildes gadījums var attiekties gan uz vienu </w:t>
      </w:r>
      <w:r>
        <w:rPr>
          <w:color w:val="black"/>
          <w:shd w:val="clear" w:fill="hsl(0, 0%, 100%)"/>
        </w:rPr>
        <w:t xml:space="preserve">sociālo mājokli,</w:t>
      </w:r>
      <w:r>
        <w:rPr>
          <w:color w:val="black"/>
        </w:rPr>
        <w:t xml:space="preserve">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w:t>
      </w:r>
      <w:r>
        <w:rPr>
          <w:color w:val="black"/>
          <w:shd w:val="clear" w:fill="hsl(0,0%,100%)"/>
        </w:rPr>
        <w:t xml:space="preserve"> sociālais mājoklis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dzīvojamā fonda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11.9. Atlikušās vērtības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Atkarībā no</w:t>
      </w:r>
      <w:r>
        <w:rPr>
          <w:color w:val="black"/>
          <w:shd w:val="clear" w:fill="hsl(0, 0%, 100%)"/>
        </w:rPr>
        <w:t xml:space="preserve"> sociālā mājokļa </w:t>
      </w:r>
      <w:r>
        <w:rPr>
          <w:color w:val="black"/>
        </w:rPr>
        <w:t xml:space="preserve">projekta vietējā mājokļu tirgus, Privātais partneris var būt gatavs uzņemties atlikušās vērtības risku un līguma beigās vai arī līgumu izbeidzot pirms termiņa paņemt dzīvojamo fondu un zemi, nevis to atdot. Iespēja to darīt būs atkarīga no piemērojamiem tiesību aktiem attiecībā uz zemi un aktīviem, kā arī tirgus, kurā Privātais partneris izmantos vai pārdos mājokli pēc PPP līguma termiņa, kā arī PPP līgumā ietvertajiem nosacījumiem attiecībā uz līguma pirmstermiņa izbeigšanu.</w:t>
      </w:r>
    </w:p>
    <w:p>
      <w:pPr/>
      <w:r>
        <w:rPr>
          <w:color w:val="black"/>
        </w:rPr>
        <w:t xml:space="preserve">Tomēr Privātā partnera finanšu modelis var būt atkarīgs no parāda un kapitāla atdeves, kas tiek izmaksāta projekta darbības laikā. Pat tad, ja līgumā ir paredzēts, ka Privātais partneris uzņemas atlikušās vērtības risku, tā cena praksē var atspoguļot nelielas korekcijas.</w:t>
      </w:r>
    </w:p>
    <w:p>
      <w:pPr/>
      <w:r>
        <w:rPr>
          <w:color w:val="black"/>
        </w:rPr>
        <w:t xml:space="preserve">Privātais partneris var būt gatavs uzņemties risku, ka viņam tiks atstāts īpašums bez alternatīvas izmantošanas (ārpus PPP), ja tas novērtē risku kā tik zemu, ka tas ir neiedomājams.</w:t>
      </w:r>
    </w:p>
    <w:p>
      <w:pPr/>
      <w:r>
        <w:rPr>
          <w:color w:val="black"/>
        </w:rPr>
        <w:t xml:space="preserve">Ja Privātais partneris uzņemas šādu atlikušās vērtības risku, tam vajadzētu radīt zemāku līguma cenu, pamatojoties uz to, ka Privātajam partnerim PPP termiņa beigās būs būtisks īpašums. Tāpat atlikušās vērtības risks ir lielā mērā atkarīgs no līguma stadijas, kad līgums tiek izbeigts pirms termiņa. PPP līgumā skaidri jānosaka kārtība, kādā veidā tiek risināts jautājums par atlikušo vērtību, ņemot vērā līguma stadiju līguma izbeigšanas brīdī.</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90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9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2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4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A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7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2026-08-08T09:28:47+03:00</dcterms:created>
  <dcterms:modified xsi:type="dcterms:W3CDTF">2026-08-08T09:28:47+03:00</dcterms:modified>
</cp:coreProperties>
</file>

<file path=docProps/custom.xml><?xml version="1.0" encoding="utf-8"?>
<Properties xmlns="http://schemas.openxmlformats.org/officeDocument/2006/custom-properties" xmlns:vt="http://schemas.openxmlformats.org/officeDocument/2006/docPropsVTypes"/>
</file>