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izpildīt līgumā noteikto izpildes specifikāciju (t. i., nodrošinot, ka būvdarbi un darbības izpilde ir nepieciešamajā kvalitātē un līmenī). Uz pieejamību balstītā maksājumu struktūrā Privātā partnera maksājums var tikt samazināts, ja nav izpildīti pieejamības kritēriji un uz veiktspēju balstīti standarti. Piemēram, pieejamības kritēriji var būt saistīti ar pieejamo klašu un zonu skaitu konkrētos periodos, un darbības standarti var būt saistīti ar istabas temperatūru un tīrību vai grafiti noņemšanas pasākumiem. Ja konkrētus pieejamības kritērijus vai darbības rādītājus nevar izpildīt Publiskā partnera (vai citu valsts iestāžu) darbību vai neparedzētu apstākļu dēļ, Privātajam partnerim var būt tiesības uz atbrīvošanu no sekām (piemēram, ja to izraisījis atvieglojums, nepārvarama vara vai kompensācijas gadījums). Piemēram, tas var būt tad, ja Publiskā partnera mācībspēki nav pienācīgi uzraudzījuši skolēnus, kuri ir sabojājuši skolas īpašumu.</w:t>
      </w:r>
    </w:p>
    <w:p>
      <w:pPr/>
      <w:r>
        <w:rPr/>
        <w:t xml:space="preserve">Publiskais partneris ir atbildīgs par izpildes režīma ieviešanu un par to, lai darbības specifikācijas būtu pieejamas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Veiktspējas uzraudzība arī ļauj Publiskajam partnerim pārraudzīt pakalpojumu līmeni kopumā un, iespējams, saņemt agrīnu brīdinājumu par jautājumiem, kas jāuzlabo vai jānovērš.</w:t>
      </w:r>
    </w:p>
    <w:p>
      <w:pPr/>
      <w:r>
        <w:rPr/>
        <w:t xml:space="preserve">Ja Publiskais partneris pieprasa, lai skolas telpas tiktu izmantotas arī citiem mērķiem (piemēram, sabiedriskai lietošanai brīvdienu periodos vai vakara nodarbībām, sporta aktivitātēm, stāvvietu izmantošanai u. c.), tad izpildes un samaksas režīmā tas ir jāņem vērā pēc vajadzības. Privātā partnera veiktās citas komerciālās darbības starp Privāto partneri un tā komerciālajiem darījumu partneriem parasti tiek dokumentētas atsevišķi.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sniegšanu un izmaksām parasti tas ir Publiskā partnera risks, bet maksājumu mehānisms var ietvert izmaksu samazināšanas stimulēšanas pasākumus (labs piemērs energoefektivitātes veicināšanai). Publiskajam partnerim var būt jumta līgumi ar komunālo pakalpojumu sniedzējiem, un Privātajam partnerim, visticamāk, būs grūti pieņemt šo izmaksu risku, ciktāl patēriņš ir atkarīgs no to pušu rīcības, kuras tas nevar ietekmēt (piemēram, skolotāji un skolēni atstāj logus atvērtus).</w:t>
      </w:r>
    </w:p>
    <w:p>
      <w:pPr/>
      <w:r>
        <w:rPr/>
        <w:t xml:space="preserve">Ja projekta darbības jomā ietilpst komunālo pakalpojumu sniegšana (piemēram, pašu vajadzībām paredzēta energoapgāde), tad tas būs Privātā partnera risks, ievērojot visus piemērojamos atvieglojumus. Lai risinātu patēriņa kontroli, līgumā var būt jāiekļauj robežvērtība, kuru pārsniedzot Publiskais partneris ir atbildīgs par komunālo pakalpojumu izmaksām, jo privātajam partnerim būs ierobežota kontrole pār lietotāju uzvedību.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skolas vai bērnudārza būvniecībai un ekspluatācijai vai pārvaldīšanai un intelektuālā īpašuma pārkāpumiem, izņemot gadījumus, kad Publiskais partneris Privātajam partnerim uzdod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veselības aizsardzības un drošības jomā daļēji būs atkarīgs no atbildības par aktīvu darbību . Privātais partneris parasti uzņemas šo risku attiecībā uz tā operatīvo atbildību, kā arī attiecībā uz apkopes un remonta darbiem un citiem veselības aizsardzības un drošības aspektiem, kas saistīti ar Privātā partnera sniegtajiem pakalpojumiem. Saskaņā ar piemērojamajiem tiesību aktiem Privātā partnera atbildību var mazināt, ja veselības un drošības incidentu izraisījis vai veicinājis Publiskais partneris, cita valsts struktūra un (vai) trešās personas.</w:t>
      </w:r>
    </w:p>
    <w:p>
      <w:pPr/>
      <w:r>
        <w:rPr/>
        <w:t xml:space="preserve">Publiskais partneris parasti saglabā "ikdienas" atbildību par  veselības aizsardzību un drošību ekspluatācijā.</w:t>
      </w:r>
    </w:p>
    <w:p>
      <w:pPr/>
      <w:r>
        <w:rPr/>
        <w:t xml:space="preserve">Parasti skolās un bērnudārzos ir stingras likumdošanas prasības attiecībā uz veselības aizsardzību un drošību.</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tehniskās apkopes standartus, kas noteikti darbības specifikācijā, lai skola vai bērnudārzs tiktu nodoti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iespējams, Publiskais partneris var sniegt datus par dzīves cikla izmaksām. Tā kā PPP projektos uzturēšanas standarti bieži tiek noteikti augstākā līmenī nekā esošajos projektos,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aktīva lietderīgās lietošanas laiks.</w:t>
      </w:r>
    </w:p>
    <w:p>
      <w:pPr/>
      <w:r>
        <w:rPr/>
        <w:t xml:space="preserve">Publiskais partneris var izveidot aktīva apsaimniekošanas komiteju, lai pārraudzītu Privātā partnera uzturēšanas pakalpojumu izpildi, kā arī oficiālu mehānismu, lai apspriestu un atrisinātu ar darbību saistītus jautājumus. Kopumā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infrastruktūras uzturēšanu, risks ir jāuztic Privātajam partnerim, ciktāl ir zināms esošo aktīvu stāvoklis un turpmākos uzturēšanas darbus var pienācīgi novērtēt pieredzējis darbuzņēmējs. 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skolas ēku vai citu iekārtu un (vai) pakalpojumu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kā arī tas, vai skolotāji, lai novērstu vandālisma rašanos, adekvāti veikuši uzraudzību mācību laikā. Ja citiem Publiskā partnera darbiniekiem ir drošības funkcijas, riska sadalījums būs atkarīgs no tā, vai viņi ir pienācīgi veikuši savus pienākumus.</w:t>
      </w:r>
    </w:p>
    <w:p>
      <w:pPr/>
      <w:r>
        <w:rPr/>
        <w:t xml:space="preserve">Vandālisma risks var būt lielāks saistībā ar to, ka tā ir skola vai bērnudārzs, vai,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lietotājiem,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shd w:val="clear" w:fill="white"/>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kad ar projektu saskaras citi infrastruktūras vai valsts pārvaldīti pakalpojumi (piemēram, skolēnu autobusu pakalpojumi), un jo īpaši gadījumos, kad Publiskais partneris saglabā pamatpakalpojumus.</w:t>
      </w:r>
    </w:p>
    <w:p>
      <w:pPr/>
      <w:r>
        <w:rPr/>
        <w:t xml:space="preserve">Tas ir īpaši svarīgi skolu projektos, kur pamata mācību pakalpojumus sniedz Publiskā partnera darbinieki. Ja Publiskā partnera (vai citu valsts iestāžu), tostarp to personāla, piegādātāju vai (apakšuzņēmēju), darbību dēļ (vai nepilnību dēļ) nevar izpildīt konkrētus pieejamības kritērijus vai darbības rādītājus, Publiskais partneris uzņemas attiecīgo risku, un Privātajam partnerim var būt tiesības uz atvieglojumu vai kompensāciju. Piemēram, ietekme var būt Publiskā partnera nodarbināto darbinieku (piemēram, mācībspēku) darbībām.</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86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F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6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4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D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2026-06-27T17:51:33+03:00</dcterms:created>
  <dcterms:modified xsi:type="dcterms:W3CDTF">2026-06-27T17:51:33+03:00</dcterms:modified>
</cp:coreProperties>
</file>

<file path=docProps/custom.xml><?xml version="1.0" encoding="utf-8"?>
<Properties xmlns="http://schemas.openxmlformats.org/officeDocument/2006/custom-properties" xmlns:vt="http://schemas.openxmlformats.org/officeDocument/2006/docPropsVTypes"/>
</file>