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color w:val="black"/>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color w:val="black"/>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skolas vai bērnudārza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īpašums ir skola vai bērnudārzs, vai,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Skolām un bērnudārziem īpašas problēmas var radīt nepieciešamība nodrošināt darbu pabeigšanu brīvlaikā, lai varētu uzsākt darbību, sākoties jaunam mācību gadam. Sodi un saskaņotie zaudējumi var būt saistīti ar to, cik svarīgi ir ievērot skolas vai bērnudārza noteikto termiņu (jo bieži vien ir svarīgi, lai skola vai bērnudārzs sāktu darboties pirms mācību gada sākuma).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Savstarpējā 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skola vai bērnudārzs var paļauties uz to, ka Publiskais partneris nodrošina elektrolīniju izbūvi, lai skola vai bērnudārzs tiktu apgādāti ar elektroenerģiju.</w:t>
      </w:r>
    </w:p>
    <w:p>
      <w:pPr/>
      <w:r>
        <w:rPr/>
        <w:t xml:space="preserve">Ja darbi aizkavēsies sakarā ar to, ka šādi būvdarbi nav veikti laikā vai Publiskais partneris citādi nepilda savas saistības, tas būs kompensācijas gadījums.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8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C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7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E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DA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F4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F8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2026-07-04T15:05:25+03:00</dcterms:created>
  <dcterms:modified xsi:type="dcterms:W3CDTF">2026-07-04T15:05:25+03:00</dcterms:modified>
</cp:coreProperties>
</file>

<file path=docProps/custom.xml><?xml version="1.0" encoding="utf-8"?>
<Properties xmlns="http://schemas.openxmlformats.org/officeDocument/2006/custom-properties" xmlns:vt="http://schemas.openxmlformats.org/officeDocument/2006/docPropsVTypes"/>
</file>