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līgumu nosaka, ka Privātais partneris iegūst tiesības saņemt pamatdarbības maksājumus dienā, kad tiek pabeigta aktīva būvniecība, vai pēc tās. </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b w:val="1"/>
          <w:bCs w:val="1"/>
        </w:rPr>
        <w:t xml:space="preserve">Būvniecības posms: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piemēram, atsevišķu telpu izīrēšana vakaros un (vai) brīvdienās.</w:t>
      </w:r>
    </w:p>
    <w:p>
      <w:pPr/>
      <w:r>
        <w:rPr>
          <w:color w:val="black"/>
        </w:rPr>
        <w:t xml:space="preserve">Parasti PPP līgumos to apskata, nosakot, ka:</w:t>
      </w:r>
    </w:p>
    <w:p>
      <w:pPr>
        <w:numPr>
          <w:ilvl w:val="0"/>
          <w:numId w:val="11"/>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1"/>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0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99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75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F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D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5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83C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E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BA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FD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63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2026-08-30T13:01:42+03:00</dcterms:created>
  <dcterms:modified xsi:type="dcterms:W3CDTF">2026-08-30T13:01:42+03:00</dcterms:modified>
</cp:coreProperties>
</file>

<file path=docProps/custom.xml><?xml version="1.0" encoding="utf-8"?>
<Properties xmlns="http://schemas.openxmlformats.org/officeDocument/2006/custom-properties" xmlns:vt="http://schemas.openxmlformats.org/officeDocument/2006/docPropsVTypes"/>
</file>