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 </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nav nodrošinājuši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LED lampas) un pārvaldītu šo resursu izmaksas. Tam būs jāņem vērā, strukturējot piegādes kārtību.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ielu apgaismojuma infrastruktūras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 </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 </w:t>
      </w:r>
    </w:p>
    <w:p>
      <w:pPr/>
      <w:r>
        <w:rPr/>
        <w:t xml:space="preserve">Privātajam partnerim vajadzētu izņemt atbilstīgu apdrošināšanu, lai segtu savas iespējamās saistības, un parasti Publiskais partneris noteiks konkrētas minimālās apdrošināšanas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r>
        <w:rPr/>
        <w:t xml:space="preserve"> </w:t>
      </w:r>
      <w:br/>
      <w:r>
        <w:rPr/>
        <w:t xml:space="preserve">Privātais partneris uzņemsies galveno risku, lai izpildītu atbilstošos uzturēšanas standartus, kas noteikti darbības specifikācijā, lai ielu pagaismojums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 </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 </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(ja attiecināms), gan ekspluatācijas posmā un jāpalielina ielu apgaismojuma infrastruktūras lietderīgās lietošanas laiks. </w:t>
      </w:r>
    </w:p>
    <w:p>
      <w:pPr/>
      <w:r>
        <w:rPr/>
        <w:t xml:space="preserve">Vispārīgi runājot, Publiskajam partnerim ir jāizvairās no pārmērīgas iejaukšanās Privātā partnera uzturēšanas pakalpojumu sniegšanā, lai nesamazinātu riska nodošanas priekšrocības. </w:t>
      </w:r>
    </w:p>
    <w:p>
      <w:pPr/>
      <w:r>
        <w:rPr/>
        <w:t xml:space="preserve">Privātais partneris parasti uzņemas kopējo risku saistībā ar periodiskām un profilaktiskām apkopēm, avārijas apkopes darbiem, darbiem, kas izriet no projektēšanas vai būvniecības kļūdām (ja attiecināms) un atsevišķos gadījumos par darbu, kas izriet no tehnoloģisku vai strukturālu izmaiņu ieviešanas. </w:t>
      </w:r>
    </w:p>
    <w:p>
      <w:pPr/>
      <w:r>
        <w:rPr>
          <w:b w:val="1"/>
          <w:bCs w:val="1"/>
        </w:rPr>
        <w:t xml:space="preserve">Esošie aktīvi projektā:  </w:t>
      </w:r>
      <w:r>
        <w:rPr>
          <w:i w:val="1"/>
          <w:iCs w:val="1"/>
        </w:rPr>
        <w:t xml:space="preserve">[dalīts risks]</w:t>
      </w:r>
      <w:r>
        <w:rPr/>
        <w:t xml:space="preserve"> </w:t>
      </w:r>
      <w:br/>
      <w:r>
        <w:rPr/>
        <w:t xml:space="preserve">Attiecībā uz esošo ielu apgaismojuma infrastruktūru, uzturēšanas risks ir jāuztic Privātajam partnerim, ciktāl ir zināms esošo īpašumu stāvoklis un turpmākos uzturēšanas darbus var pienācīgi novērtēt pieredzējis darbuzņēmējs. </w:t>
      </w:r>
    </w:p>
    <w:p>
      <w:pPr/>
      <w:r>
        <w:rPr/>
        <w:t xml:space="preserve">Dažos gadījumos Publiskajam partnerim var būt nepieciešams saglabāt dažu esošo aktīvu uzturēšanas vai slēpto defektu risku (un piemērotības mērķim standarti var būt attiecīgi jāpielāgo).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w:t>
      </w:r>
    </w:p>
    <w:p>
      <w:pPr/>
      <w:r>
        <w:rPr/>
        <w:t xml:space="preserve">Piešķīrums un slieksnis vai apmērs būs atkarīgs no riska veida un tā, cik lielā mērā Privātais partneris var efektīvi ietekmēt vai mazināt risku.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t xml:space="preserve">Publiskais partneris parasti aizliedz jebkādas izmaiņas Privātā partnera līdzdalībā uz noteiktu laiku (piemēram, bloķējot būvniecības periodu (ja attiecināms) vai līdz pāris gadiem ekspluatācijas posmā), un pēc tam var noteikt režīmu, kas ierobežo kontroles maiņu bez piekrišanas, vai arī, ja nevar izpildīt iepriekš saskaņotus kritērijus. </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 </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 </w:t>
      </w:r>
    </w:p>
    <w:p>
      <w:pPr/>
      <w:r>
        <w:rPr>
          <w:b w:val="1"/>
          <w:bCs w:val="1"/>
        </w:rPr>
        <w:t xml:space="preserve">Privātā partnera vaina:</w:t>
      </w:r>
      <w:r>
        <w:rPr/>
        <w:t xml:space="preserve"> [privāts risks] </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w:t>
      </w:r>
      <w:r>
        <w:rPr/>
        <w:t xml:space="preserve">  [publisks risks] </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9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C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6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F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9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2025-12-17T07:16:49+00:00</dcterms:created>
  <dcterms:modified xsi:type="dcterms:W3CDTF">2025-12-17T07:16:49+00:00</dcterms:modified>
</cp:coreProperties>
</file>

<file path=docProps/custom.xml><?xml version="1.0" encoding="utf-8"?>
<Properties xmlns="http://schemas.openxmlformats.org/officeDocument/2006/custom-properties" xmlns:vt="http://schemas.openxmlformats.org/officeDocument/2006/docPropsVTypes"/>
</file>