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 </w:t>
      </w:r>
    </w:p>
    <w:p>
      <w:pPr/>
      <w:r>
        <w:rPr/>
        <w:t xml:space="preserve">Privātais partneris uzņemas risku izpildīt līgumā noteikto izpildes specifikāciju (t.i., nodrošinot, ka darbi un darbības izpilde ir nepieciešamajā kvalitātē un līmenī). Maksājumu struktūrā, kas balstīta uz pieejamību, Privātā partnera maksājums var tikt samazināts, ja netiek izpildīti pieejamības kritēriji un uz sniegumu balstīti standarti. Ja noteiktus pieejamības kritērijus vai darbības rādītājus nevar izpildīt Publiskā partnera (vai citu valsts iestāžu) darbību vai neparedzētu apstākļu dēļ, Privātajam partnerim var būt tiesības uz atvieglojumu (piemēram, ja to izraisa atvieglojums, nepārvarama vara vai kompensācijas pasākums). Piemēram, tas var būt gadījums, kad Publiskā partnera darbinieki nav nodrošinājuši Privātajam partnerim piekļuvi defekta novēršanai.  </w:t>
      </w:r>
    </w:p>
    <w:p>
      <w:pPr/>
      <w:r>
        <w:rPr/>
        <w:t xml:space="preserve">Publiskais partneris ir atbildīgs par izpildes režīma ieviešanu un par to, lai darbības specifikācijas būtu sasniedzamas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w:t>
      </w:r>
      <w:r>
        <w:rPr>
          <w:color w:val="black"/>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LED lampas) un pārvaldītu šo resursu izmaksas. Tam būs jāņem vērā, strukturējot piegādes kārtību.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ielu apgaismojuma infrastruktūras būvniecībai un ekspluatācijai vai pārvaldīšanai un intelektuālā īpašuma pārkāpumiem, izņemot gadījumus, kad Publiskais partneris Privātajam partnerim uzliek noteiktus dizaina vai citus tehnoloģiskus risinājumus, un tādā gadījumā attiecīgo risku var dalīt vai uzņemties Publiskais partneris. </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attiecībā uz veselības aizsardzību un drošību būs atkarīgs no atbildības par aktīvu darbību. Privātais partneris parasti uzņemas risku saistībā ar tā apkopes vai remonta darbiem un citiem veselības aizsardzības un drošības aspektiem, kas saistīti ar Privātā partnera sniegtajiem pakalpojumiem šajā posmā. Saskaņā ar piemērojamiem tiesību aktiem Privātā partnera atbildība var tikt mazināta tādā mērā, kādā veselības aizsardzības un drošības incidentu izraisīja vai veicināja Publiskais partneris vai cita valsts iestāde un (vai) trešā puse.  </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 </w:t>
      </w:r>
    </w:p>
    <w:p>
      <w:pPr/>
      <w:r>
        <w:rPr/>
        <w:t xml:space="preserve">Privātajam partnerim vajadzētu izņemt atbilstīgu apdrošināšanu, lai segtu savas iespējamās saistības, un parasti Publiskais partneris noteiks konkrētas minimālās apdrošināšanas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r>
        <w:rPr/>
        <w:t xml:space="preserve"> </w:t>
      </w:r>
      <w:br/>
      <w:r>
        <w:rPr/>
        <w:t xml:space="preserve">Privātais partneris uzņemsies galveno risku, lai izpildītu atbilstošos uzturēšanas standartus, kas noteikti darbības specifikācijā, lai ielu pagaismojums tiktu nodots atpakaļ paredzētajā stāvoklī pēc līguma pirmstermiņa izbeigšanas vai termiņa beigām. Tas ietver ikdienas apkopi, kā arī aprites cikla apkopi un noteiktu aktīvu nomaiņu. Ja aktīvi netiek uzturēti saskaņā ar darbības specifikāciju, tiks ieturēti maksājumi. </w:t>
      </w:r>
    </w:p>
    <w:p>
      <w:pPr/>
      <w:r>
        <w:rPr/>
        <w:t xml:space="preserve">Praksē dzīves cikla darbu novērtēšana var būt sarežģīta. Tam nepieciešama pieredze, un, ciktāl tas ir pieejams, Publiskais partneris var sniegt datus par dzīves cikla izmaksām. Tā kā PPP projektos uzturēšanas standarti bieži tiek noteikti augstākā līmenī nekā esošajos projektos, un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 </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(ja attiecināms), gan ekspluatācijas posmā un jāpalielina ielu apgaismojuma infrastruktūras lietderīgās lietošanas laiks. </w:t>
      </w:r>
    </w:p>
    <w:p>
      <w:pPr/>
      <w:r>
        <w:rPr/>
        <w:t xml:space="preserve">Vispārīgi runājot, Publiskajam partnerim ir jāizvairās no pārmērīgas iejaukšanās Privātā partnera uzturēšanas pakalpojumu sniegšanā, lai nesamazinātu riska nodošanas priekšrocības. </w:t>
      </w:r>
    </w:p>
    <w:p>
      <w:pPr/>
      <w:r>
        <w:rPr/>
        <w:t xml:space="preserve">Privātais partneris parasti uzņemas kopējo risku saistībā ar periodiskām un profilaktiskām apkopēm, avārijas apkopes darbiem, darbiem, kas izriet no projektēšanas vai būvniecības kļūdām (ja attiecināms) un atsevišķos gadījumos par darbu, kas izriet no tehnoloģisku vai strukturālu izmaiņu ieviešanas. </w:t>
      </w:r>
    </w:p>
    <w:p>
      <w:pPr/>
      <w:r>
        <w:rPr>
          <w:b w:val="1"/>
          <w:bCs w:val="1"/>
        </w:rPr>
        <w:t xml:space="preserve">Esošie aktīvi projektā:  </w:t>
      </w:r>
      <w:r>
        <w:rPr>
          <w:i w:val="1"/>
          <w:iCs w:val="1"/>
        </w:rPr>
        <w:t xml:space="preserve">[dalīts risks]</w:t>
      </w:r>
      <w:r>
        <w:rPr/>
        <w:t xml:space="preserve"> </w:t>
      </w:r>
      <w:br/>
      <w:r>
        <w:rPr/>
        <w:t xml:space="preserve">Attiecībā uz esošo ielu apgaismojuma infrastruktūru, uzturēšanas risks ir jāuztic Privātajam partnerim, ciktāl ir zināms esošo īpašumu stāvoklis un turpmākos uzturēšanas darbus var pienācīgi novērtēt pieredzējis darbuzņēmējs. </w:t>
      </w:r>
    </w:p>
    <w:p>
      <w:pPr/>
      <w:r>
        <w:rPr/>
        <w:t xml:space="preserve">Dažos gadījumos Publiskajam partnerim var būt nepieciešams saglabāt dažu esošo aktīvu uzturēšanas vai slēpto defektu risku (un piemērotības mērķim standarti var būt attiecīgi jāpielāgo).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vien vandālisms darbības posmā ir risks, ar ko Publiskajam partnerim būs jādalās, piemēram, ja Privātais partneris ir izpildījis visas prasības (piemēram, projekta specifikācijas, apkopes saistības), bet nav varējis vandālismu novērst. </w:t>
      </w:r>
    </w:p>
    <w:p>
      <w:pPr/>
      <w:r>
        <w:rPr/>
        <w:t xml:space="preserve">Piešķīrums un slieksnis vai apmērs būs atkarīgs no riska veida un tā, cik lielā mērā Privātais partneris var efektīvi ietekmēt vai mazināt risku.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 </w:t>
      </w:r>
    </w:p>
    <w:p>
      <w:pPr/>
      <w:r>
        <w:rPr/>
        <w:t xml:space="preserve">Publiskais partneris parasti aizliedz jebkādas izmaiņas Privātā partnera līdzdalībā uz noteiktu laiku (piemēram, bloķējot būvniecības periodu (ja attiecināms) vai līdz pāris gadiem ekspluatācijas posmā), un pēc tam var noteikt režīmu, kas ierobežo kontroles maiņu bez piekrišanas, vai arī, ja nevar izpildīt iepriekš saskaņotus kritērijus. </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 </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 </w:t>
      </w:r>
    </w:p>
    <w:p>
      <w:pPr/>
      <w:r>
        <w:rPr>
          <w:b w:val="1"/>
          <w:bCs w:val="1"/>
        </w:rPr>
        <w:t xml:space="preserve">Privātā partnera vaina:</w:t>
      </w:r>
      <w:r>
        <w:rPr/>
        <w:t xml:space="preserve"> [privāts risks] </w:t>
      </w:r>
      <w:br/>
      <w:r>
        <w:rPr/>
        <w:t xml:space="preserve">Ja iejaukšanās notiek Privātā partnera vainas vai notikuma dēļ, par kuru tas ir atbildīgs, Privātais partneris būtībā uzņemas Publiskajam partnerim (un viņam pašam) radušos izmaksu risku. </w:t>
      </w:r>
    </w:p>
    <w:p>
      <w:pPr/>
      <w:r>
        <w:rPr>
          <w:b w:val="1"/>
          <w:bCs w:val="1"/>
        </w:rPr>
        <w:t xml:space="preserve">Nav privātā partnera vainas:</w:t>
      </w:r>
      <w:r>
        <w:rPr/>
        <w:t xml:space="preserve">  [publisks risks] </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PPP līgumos iekļauj noteikumus par personālu, kas būs iesaistīts Privātā partnera veiktajā projekta īstenošanā. Šie noteikumi var aptvert dažādus jautājumus, tostarp:</w:t>
      </w:r>
    </w:p>
    <w:p>
      <w:pPr/>
      <w:r>
        <w:rPr/>
        <w:t xml:space="preserve">- katras puses tiesības un pienākumus saistībā ar personāla pārcelšanu citā amatā saskaņā ar attiecīgajiem tiesību aktiem gan PPP līguma darbības laikā, gan darbības termiņa beigās;</w:t>
      </w:r>
    </w:p>
    <w:p>
      <w:pPr/>
      <w:r>
        <w:rPr/>
        <w:t xml:space="preserve">- katras puses tiesības un pienākumus saistībā ar nodarbinātības un pensijas tiesību aizsardzību gan tam personālam, kas tiek pārcelts darbā Privātā partnera uzņēmumā, gan jaunpieņemtajam personālam;</w:t>
      </w:r>
    </w:p>
    <w:p>
      <w:pPr/>
      <w:r>
        <w:rPr/>
        <w:t xml:space="preserve">- saistības personāla pensiju jomā;</w:t>
      </w:r>
    </w:p>
    <w:p>
      <w:pPr/>
      <w:r>
        <w:rPr/>
        <w:t xml:space="preserve">- prasības attiecībā uz noteiktu kvalifikāciju un prasmēm, kā arī uz projekta īstenošanā iesaistīto personu atbilstību kritērijiem;</w:t>
      </w:r>
    </w:p>
    <w:p>
      <w:pPr/>
      <w:r>
        <w:rPr/>
        <w:t xml:space="preserve">- informācijas sniegšanu saistībā ar projekta īstenošanā iesaistīto personālu.</w:t>
      </w:r>
    </w:p>
    <w:p>
      <w:pPr/>
      <w:r>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8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5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1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2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7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2026-08-08T09:25:58+03:00</dcterms:created>
  <dcterms:modified xsi:type="dcterms:W3CDTF">2026-08-08T09:25:58+03:00</dcterms:modified>
</cp:coreProperties>
</file>

<file path=docProps/custom.xml><?xml version="1.0" encoding="utf-8"?>
<Properties xmlns="http://schemas.openxmlformats.org/officeDocument/2006/custom-properties" xmlns:vt="http://schemas.openxmlformats.org/officeDocument/2006/docPropsVTypes"/>
</file>