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 </w:t>
      </w:r>
    </w:p>
    <w:p>
      <w:pPr/>
      <w:r>
        <w:rPr>
          <w:color w:val="black"/>
        </w:rPr>
        <w:t xml:space="preserve">Publiskais partneris nedrīkst "netaisnīgi iedzīvoties", saņemot aktīvu, par kuru tas nav samaksājis paredzamo līgumcenu. Šis ir juridiskais pamatprincips, un tas būtu jāņem vērā, izstrādājot piemērojamos izbeigšanas kompensācijas noteikumus. </w:t>
      </w:r>
    </w:p>
    <w:p>
      <w:pPr/>
      <w:r>
        <w:rPr>
          <w:color w:val="black"/>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b w:val="1"/>
          <w:bCs w:val="1"/>
        </w:rPr>
        <w:t xml:space="preserve">Izbeigšanas tiesības: </w:t>
      </w:r>
      <w:r>
        <w:rPr>
          <w:color w:val="black"/>
        </w:rPr>
        <w:t xml:space="preserve"> 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  </w:t>
      </w:r>
    </w:p>
    <w:p>
      <w:pPr/>
      <w:r>
        <w:rPr>
          <w:color w:val="black"/>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b w:val="1"/>
          <w:bCs w:val="1"/>
        </w:rPr>
        <w:t xml:space="preserve">Izbeigšanas tiesības: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color w:val="black"/>
        </w:rPr>
        <w:t xml:space="preserve"> a) ir tikai politiskā riska noteikumi,</w:t>
      </w:r>
    </w:p>
    <w:p>
      <w:pPr/>
      <w:r>
        <w:rPr>
          <w:color w:val="black"/>
        </w:rPr>
        <w:t xml:space="preserve"> b) ir tikai Publiskā partnera saistību neizpildes noteikumi vai </w:t>
      </w:r>
    </w:p>
    <w:p>
      <w:pPr/>
      <w:r>
        <w:rPr>
          <w:color w:val="black"/>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b w:val="1"/>
          <w:bCs w:val="1"/>
        </w:rPr>
        <w:t xml:space="preserve">Izbeigšanas tiesības:</w:t>
      </w:r>
      <w:r>
        <w:rPr>
          <w:color w:val="black"/>
        </w:rPr>
        <w:t xml:space="preserve"> 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b w:val="1"/>
          <w:bCs w:val="1"/>
        </w:rPr>
        <w:t xml:space="preserve">Izbeigšanas tiesības: </w:t>
      </w:r>
      <w:r>
        <w:rPr>
          <w:color w:val="black"/>
        </w:rPr>
        <w:t xml:space="preserve"> puses dala nepārvaramas varas izbeigšanas risku. Parasti tas rodas pēc 6–12 mēnešiem ilgstošas nepārvaramas varas, kad puses nevar vienoties par risinājumu projekta turpināšanai.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Piemēram, Publiskais partneris varētu vēlēties zināmu elastību, lai nodrošinātu sabiedrisko pakalpojumu nepārtrauktību. Jebkurā gadījumā līgumā jābūt skaidram nodomam. </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 </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ielu apgaismojuma infrastruktūra ir jānodod atpakaļ Publiskajam partnerim, Privātais partneris uzņemas risku, ka projekta līdzekļi tiks nodoti atpakaļ Publiskajam partnerim saskaņā ar līgumu un atbilst prasītajiem atdošanas nosacījumiem. Tas ir saistīts ar aktīvu uzturēšanu līguma darbības laikā.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FF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1B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49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F8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F2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AAC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2026-10-15T02:29:02+03:00</dcterms:created>
  <dcterms:modified xsi:type="dcterms:W3CDTF">2026-10-15T02:29:02+03:00</dcterms:modified>
</cp:coreProperties>
</file>

<file path=docProps/custom.xml><?xml version="1.0" encoding="utf-8"?>
<Properties xmlns="http://schemas.openxmlformats.org/officeDocument/2006/custom-properties" xmlns:vt="http://schemas.openxmlformats.org/officeDocument/2006/docPropsVTypes"/>
</file>